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Майковой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Майкова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застрахованных лицах по форме ЕФС-1 раздел 1, подраздел 1.2 за 2024 год в Отделение Фонда пенсионного и социального страхования Российской Федерации по Ханты-Мансийскому автономному округу-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Югре, чем нарушила п.п 1-3 п.2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</w:t>
      </w:r>
      <w:r>
        <w:rPr>
          <w:rStyle w:val="cat-Timegrp-22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28.01.2024 правонарушение, предусмотренное ч.1 ст.15.33.2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Майкова А.А</w:t>
      </w:r>
      <w:r>
        <w:rPr>
          <w:rFonts w:ascii="Times New Roman" w:eastAsia="Times New Roman" w:hAnsi="Times New Roman" w:cs="Times New Roman"/>
          <w:sz w:val="28"/>
          <w:szCs w:val="28"/>
        </w:rPr>
        <w:t>.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иных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</w:t>
      </w:r>
      <w:r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>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Майковой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>0950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выявле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</w:t>
      </w:r>
      <w:r>
        <w:rPr>
          <w:rFonts w:ascii="Times New Roman" w:eastAsia="Times New Roman" w:hAnsi="Times New Roman" w:cs="Times New Roman"/>
          <w:sz w:val="28"/>
          <w:szCs w:val="28"/>
        </w:rPr>
        <w:t>е ЕФС-1 раздел 1</w:t>
      </w:r>
      <w:r>
        <w:rPr>
          <w:rFonts w:ascii="Times New Roman" w:eastAsia="Times New Roman" w:hAnsi="Times New Roman" w:cs="Times New Roman"/>
          <w:sz w:val="28"/>
          <w:szCs w:val="28"/>
        </w:rPr>
        <w:t>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Майковой А.А</w:t>
      </w:r>
      <w:r>
        <w:rPr>
          <w:rFonts w:ascii="Times New Roman" w:eastAsia="Times New Roman" w:hAnsi="Times New Roman" w:cs="Times New Roman"/>
          <w:sz w:val="28"/>
          <w:szCs w:val="28"/>
        </w:rPr>
        <w:t>. и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</w:t>
      </w:r>
      <w:r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Майковой А.А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Майкову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Югре, л/с 04874Ф87010) Банк получателя: РКЦ Ханты-Мансийск/УФК по Ханты-Мансийскому автономному округу – Югре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0270000000025</w:t>
      </w:r>
      <w:r>
        <w:rPr>
          <w:rFonts w:ascii="Times New Roman" w:eastAsia="Times New Roman" w:hAnsi="Times New Roman" w:cs="Times New Roman"/>
          <w:sz w:val="28"/>
          <w:szCs w:val="28"/>
        </w:rPr>
        <w:t>8333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</w:t>
      </w:r>
      <w:r>
        <w:rPr>
          <w:rFonts w:ascii="Times New Roman" w:eastAsia="Times New Roman" w:hAnsi="Times New Roman" w:cs="Times New Roman"/>
          <w:sz w:val="28"/>
          <w:szCs w:val="28"/>
        </w:rPr>
        <w:t>нсийск, ул.Ленина,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417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1rplc-5">
    <w:name w:val="cat-OrganizationName grp-21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Timegrp-22rplc-21">
    <w:name w:val="cat-Time grp-22 rplc-21"/>
    <w:basedOn w:val="DefaultParagraphFont"/>
  </w:style>
  <w:style w:type="character" w:customStyle="1" w:styleId="cat-OrganizationNamegrp-21rplc-28">
    <w:name w:val="cat-OrganizationName grp-21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Sumgrp-18rplc-31">
    <w:name w:val="cat-Sum grp-1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FB69-20E2-4BC5-993E-F8A8A836944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